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53" w:rsidRPr="00F1161B" w:rsidRDefault="004A3B53" w:rsidP="00F1161B">
      <w:pPr>
        <w:tabs>
          <w:tab w:val="left" w:pos="426"/>
        </w:tabs>
        <w:spacing w:line="276" w:lineRule="auto"/>
        <w:jc w:val="right"/>
        <w:rPr>
          <w:rFonts w:ascii="Times New Roman" w:eastAsia="Times New Roman" w:hAnsi="Times New Roman"/>
          <w:lang w:val="pl-PL" w:eastAsia="pl-PL"/>
        </w:rPr>
      </w:pPr>
      <w:bookmarkStart w:id="0" w:name="__DdeLink__10003_3471672115"/>
      <w:r w:rsidRPr="00F1161B">
        <w:rPr>
          <w:rFonts w:ascii="Times New Roman" w:eastAsia="Times New Roman" w:hAnsi="Times New Roman"/>
          <w:lang w:val="pl-PL" w:eastAsia="pl-PL"/>
        </w:rPr>
        <w:t>Załącznik nr 7 do SIW</w:t>
      </w:r>
      <w:bookmarkStart w:id="1" w:name="_GoBack"/>
      <w:bookmarkEnd w:id="1"/>
      <w:r w:rsidRPr="00F1161B">
        <w:rPr>
          <w:rFonts w:ascii="Times New Roman" w:eastAsia="Times New Roman" w:hAnsi="Times New Roman"/>
          <w:lang w:val="pl-PL" w:eastAsia="pl-PL"/>
        </w:rPr>
        <w:t xml:space="preserve">Z </w:t>
      </w:r>
    </w:p>
    <w:p w:rsidR="004A3B53" w:rsidRPr="00F1161B" w:rsidRDefault="004A3B53" w:rsidP="00F1161B">
      <w:pPr>
        <w:tabs>
          <w:tab w:val="left" w:pos="426"/>
        </w:tabs>
        <w:spacing w:line="276" w:lineRule="auto"/>
        <w:rPr>
          <w:rFonts w:ascii="Times New Roman" w:eastAsia="Times New Roman" w:hAnsi="Times New Roman"/>
          <w:lang w:val="pl-PL" w:eastAsia="pl-PL"/>
        </w:rPr>
      </w:pPr>
      <w:r w:rsidRPr="00F1161B">
        <w:rPr>
          <w:rFonts w:ascii="Times New Roman" w:eastAsia="Times New Roman" w:hAnsi="Times New Roman"/>
          <w:lang w:val="pl-PL" w:eastAsia="pl-PL"/>
        </w:rPr>
        <w:t>DG.271.10.2020</w:t>
      </w:r>
    </w:p>
    <w:p w:rsidR="004A3B53" w:rsidRPr="00F1161B" w:rsidRDefault="004A3B53" w:rsidP="00F1161B">
      <w:pPr>
        <w:tabs>
          <w:tab w:val="left" w:pos="426"/>
        </w:tabs>
        <w:spacing w:line="276" w:lineRule="auto"/>
        <w:jc w:val="both"/>
        <w:rPr>
          <w:rFonts w:ascii="Times New Roman" w:eastAsia="Times New Roman" w:hAnsi="Times New Roman"/>
          <w:lang w:val="pl-PL" w:eastAsia="pl-PL"/>
        </w:rPr>
      </w:pPr>
    </w:p>
    <w:p w:rsidR="004A3B53" w:rsidRPr="00F1161B" w:rsidRDefault="004A3B53" w:rsidP="00F1161B">
      <w:pPr>
        <w:tabs>
          <w:tab w:val="left" w:pos="426"/>
        </w:tabs>
        <w:spacing w:line="276" w:lineRule="auto"/>
        <w:jc w:val="center"/>
        <w:rPr>
          <w:rFonts w:ascii="Times New Roman" w:eastAsia="Times New Roman" w:hAnsi="Times New Roman"/>
          <w:b/>
          <w:lang w:val="pl-PL" w:eastAsia="pl-PL"/>
        </w:rPr>
      </w:pPr>
      <w:r w:rsidRPr="00F1161B">
        <w:rPr>
          <w:rFonts w:ascii="Times New Roman" w:eastAsia="Times New Roman" w:hAnsi="Times New Roman"/>
          <w:b/>
          <w:lang w:val="pl-PL" w:eastAsia="pl-PL"/>
        </w:rPr>
        <w:t>Opis przedmiotu zamówienia</w:t>
      </w:r>
    </w:p>
    <w:p w:rsidR="004A3B53" w:rsidRPr="00F1161B" w:rsidRDefault="004A3B53" w:rsidP="00F1161B">
      <w:pPr>
        <w:tabs>
          <w:tab w:val="left" w:pos="426"/>
        </w:tabs>
        <w:spacing w:line="276" w:lineRule="auto"/>
        <w:jc w:val="both"/>
        <w:rPr>
          <w:rFonts w:ascii="Times New Roman" w:eastAsia="Times New Roman" w:hAnsi="Times New Roman"/>
          <w:lang w:val="pl-PL" w:eastAsia="pl-PL"/>
        </w:rPr>
      </w:pPr>
    </w:p>
    <w:p w:rsidR="00E951F6" w:rsidRPr="00F1161B" w:rsidRDefault="00E951F6" w:rsidP="00F1161B">
      <w:pPr>
        <w:tabs>
          <w:tab w:val="left" w:pos="426"/>
        </w:tabs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lang w:val="pl-PL" w:eastAsia="pl-PL"/>
        </w:rPr>
        <w:t>1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. </w:t>
      </w:r>
      <w:r w:rsidR="004A3B53"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Przedmiotem zamówienia publicznego jest realizacja zadania pn.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:</w:t>
      </w: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 </w:t>
      </w:r>
      <w:r w:rsidRPr="00F1161B">
        <w:rPr>
          <w:rFonts w:ascii="Times New Roman" w:hAnsi="Times New Roman"/>
          <w:b/>
          <w:bCs/>
          <w:color w:val="000000" w:themeColor="text1"/>
          <w:lang w:val="pl-PL"/>
        </w:rPr>
        <w:t>„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Inwentaryzacja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indywidualnych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źródeł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ciepła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na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terenie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Miasta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i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Gminy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1161B">
        <w:rPr>
          <w:rFonts w:ascii="Times New Roman" w:hAnsi="Times New Roman"/>
          <w:b/>
          <w:color w:val="000000" w:themeColor="text1"/>
        </w:rPr>
        <w:t>Sanniki</w:t>
      </w:r>
      <w:proofErr w:type="spellEnd"/>
      <w:r w:rsidRPr="00F1161B">
        <w:rPr>
          <w:rFonts w:ascii="Times New Roman" w:hAnsi="Times New Roman"/>
          <w:b/>
          <w:color w:val="000000" w:themeColor="text1"/>
        </w:rPr>
        <w:t>”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zgodnie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>z aktualnymi wytycznymi do przygotowania inwentaryzacji w ramach „Mazowieckiego Instrumentu Wsparcia Ochrony Powietrza MAZOWSZE 2020”.</w:t>
      </w:r>
      <w:bookmarkEnd w:id="0"/>
    </w:p>
    <w:p w:rsidR="004A3B53" w:rsidRPr="00F1161B" w:rsidRDefault="004A3B53" w:rsidP="00F1161B">
      <w:p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</w:p>
    <w:p w:rsidR="00E951F6" w:rsidRPr="00F1161B" w:rsidRDefault="00E951F6" w:rsidP="00F1161B">
      <w:pPr>
        <w:spacing w:line="276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t>2. W zakres zadania wchodzi: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1). wykonanie inwentaryzacji indywidulanych źródeł ciepła na terenie Miasta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>i Gminy Sanniki i przekazanie wypełnionych ankiet lub spisów dokonanych w formie papierowej lub elektronicznej,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2). sporządzenie raportu końcowego z przeprowadzonej inwentaryzacji,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3). utworzenie bazy danych obsługiwanej przez program Microsoft Excel,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4).wykonanie usługi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przeprowadzenia audytów energetycznych budynków użyteczności publicznej. 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5). przeprowadzenie kampanii informacyjnej dotyczącej inwentaryzacji (ogłoszenia w prasie, opracowanie, wydruk i dystrybucja ulotek, plakatów, materiałów informacyjnych)</w:t>
      </w:r>
    </w:p>
    <w:p w:rsidR="004A3B53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E951F6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3</w:t>
      </w:r>
      <w:r w:rsidR="00E951F6"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. Inwentaryzacja indywidulanych źródeł ciepła na terenie Miasta i Gminy Sanniki zostanie wykonana z wykorzystaniem metody wywiadu bezpośredniego</w:t>
      </w:r>
      <w:r w:rsidR="00E951F6"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(wypełnianie ankiet lub dokonywanie spisu w formie papierowej lub elektronicznej przez reprezentanta gminy podczas oględzin).</w:t>
      </w:r>
    </w:p>
    <w:p w:rsidR="004A3B53" w:rsidRPr="00F1161B" w:rsidRDefault="004A3B53" w:rsidP="00045BAB">
      <w:pPr>
        <w:spacing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Dla potrzeb ankietyzacji Wykonawca przygotuje kwestionariusz ankiety uwzględniający niezbędne dane. Wzór kwestionariusza ankiety winien być przedłożony w formie elektronicznej do akceptacji przez Zamawiającego. Wykonawca dokona wydruku ankiet.</w:t>
      </w:r>
    </w:p>
    <w:p w:rsidR="004A3B53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Wykonawca dokona rekrutacji eksperta/ów do prowadzenia szkolenia ankieterów oraz ankieterów. Do obowiązku Wykonawcy należy przeszkolenie ankieterów oraz wyposażenie w identyfikator z nr telefonu Urzędu Miasta i firmy Wykonawcy oraz listę i mapę z lokalizacją budynków, z których mają zbierać dane. </w:t>
      </w:r>
    </w:p>
    <w:p w:rsidR="004A3B53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Wykonawca, w terminie 14 dni od podpisania umowy przedłoży Zamawiającemu  wykaz osób wyznaczonych do realizacji zadań związanych z przeprowadzeniem inwentaryzacji.</w:t>
      </w:r>
    </w:p>
    <w:p w:rsidR="004A3B53" w:rsidRPr="00F1161B" w:rsidRDefault="004A3B53" w:rsidP="00045BAB">
      <w:pPr>
        <w:spacing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Ankieterzy, w celu pozyskania danych, mają za zadanie przeprowadzenie rozmowy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>z respondentem, wspólnej analizy poszczególnych punktów kwestionariusza, a także wypełnienie ankiety.</w:t>
      </w:r>
    </w:p>
    <w:p w:rsidR="004A3B53" w:rsidRPr="00F1161B" w:rsidRDefault="004A3B53" w:rsidP="00045BA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Wskazane jest, aby prowadzenie inwentaryzacji metodą wywiadu bezpośredniego połączone było z równoczesnym zapewnieniem doradztwa w zakresie obowiązującej uchwały antysmogowej, wymiany źródeł ciepła na ekologiczne, poprawy efektywności energetycznej w budynkach i obniżenia kosztów związanych z utrzymaniem mieszkań (np. oszczędność energii)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lastRenderedPageBreak/>
        <w:t>oraz wykonaniem termomodernizacji obiektów w celu zmniejszenia strat ciepła i obniżenia zużycia energii cieplnej.</w:t>
      </w:r>
    </w:p>
    <w:p w:rsidR="004A3B53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E951F6" w:rsidRPr="00F1161B" w:rsidRDefault="004A3B53" w:rsidP="00F1161B">
      <w:pPr>
        <w:spacing w:line="276" w:lineRule="auto"/>
        <w:jc w:val="both"/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4. </w:t>
      </w:r>
      <w:r w:rsidR="00E951F6" w:rsidRPr="00F1161B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t>Wykonawca jest zobowiązany do wykonania inwentaryzacji zgodnie</w:t>
      </w:r>
      <w:r w:rsidR="00E951F6" w:rsidRPr="00F1161B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br/>
        <w:t xml:space="preserve"> z następującymi dokumentami: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-Regulamin udzielenia i przekazywania pomocy finansowej z budżetu Województwa Mazowieckiego w ramach „Mazowieckiego Instrumentu Wsparcia Ochrony Powietrza MAZOWSZE 2020”, 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-Uchwała nr 419/119/20 Zarządu Województwa Mazowieckiego z dnia 24 marca 2020 r. zmieniająca uchwałę w sprawie Regulaminu udzielania i przekazywania pomocy finansowej z budżetu Województwa Mazowieckiego w ramach „Mazowieckiego Instrumentu Wsparcia Ochrony Powietrza MAZOWSZE 2020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-Wytyczne do przygotowania inwentaryzacji (aktualizacja) . 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743F3C" w:rsidRDefault="004A3B53" w:rsidP="00F1161B">
      <w:pPr>
        <w:spacing w:line="276" w:lineRule="auto"/>
        <w:jc w:val="both"/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5.</w:t>
      </w:r>
      <w:r w:rsidR="00E951F6"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. Szacunkowa liczba wszystkich nieruchomości, objętych inwentaryzacją wynosi </w:t>
      </w:r>
      <w:r w:rsidR="00E951F6" w:rsidRPr="00F1161B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t xml:space="preserve">ok. 1600 (w tym: około 1500 budynków jednorodzinnych,  30 budynków wielorodzinnych, około 70 pozostałych np. handlowe i </w:t>
      </w:r>
      <w:r w:rsidR="00E951F6" w:rsidRPr="00743F3C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t>usługowe).</w:t>
      </w:r>
    </w:p>
    <w:p w:rsidR="00E951F6" w:rsidRPr="00743F3C" w:rsidRDefault="004A3B53" w:rsidP="00743F3C">
      <w:pPr>
        <w:spacing w:line="276" w:lineRule="auto"/>
        <w:ind w:firstLine="708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W terminie 7 dni od podpisa</w:t>
      </w:r>
      <w:r w:rsidR="004C3BE9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nia umowy Zamawiający przekaże W</w:t>
      </w:r>
      <w:r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ykonawcy wykaz </w:t>
      </w:r>
      <w:r w:rsidR="00743F3C"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właścicieli </w:t>
      </w:r>
      <w:r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nieruchomości zamieszkałych </w:t>
      </w:r>
      <w:r w:rsidR="00743F3C"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z terenu gminy Sanniki oraz wykaz nieruchomości </w:t>
      </w:r>
      <w:r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niezamieszkałych</w:t>
      </w:r>
      <w:r w:rsidR="00743F3C"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 z terenu gminy Sanniki</w:t>
      </w:r>
      <w:r w:rsidRPr="00743F3C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. 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743F3C">
        <w:rPr>
          <w:rFonts w:ascii="Times New Roman" w:eastAsia="Times New Roman" w:hAnsi="Times New Roman"/>
          <w:color w:val="000000" w:themeColor="text1"/>
          <w:lang w:val="pl-PL" w:eastAsia="pl-PL"/>
        </w:rPr>
        <w:t>Inwentaryzacja musi jednoznacznie wskazać wszystkie źródła ciepła w każdym lokalu lub budynku położonym na terenie gminy ogrzewanym indywidualnie, w tym w szczególności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: mieszkalnym (jednorodzinnym i wielorodzinnym), handlowym, usługowym, użyteczności publicznej.</w:t>
      </w:r>
    </w:p>
    <w:p w:rsidR="00E951F6" w:rsidRPr="00F1161B" w:rsidRDefault="00E951F6" w:rsidP="00F1161B">
      <w:pPr>
        <w:spacing w:line="276" w:lineRule="auto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Podmioty, które powinna objąć inwentaryzacja, to przede wszystkim:</w:t>
      </w:r>
    </w:p>
    <w:p w:rsidR="00E951F6" w:rsidRPr="00F1161B" w:rsidRDefault="00E951F6" w:rsidP="00F1161B">
      <w:pPr>
        <w:numPr>
          <w:ilvl w:val="0"/>
          <w:numId w:val="5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małe kotłownie przydomowe,</w:t>
      </w:r>
    </w:p>
    <w:p w:rsidR="00E951F6" w:rsidRPr="00F1161B" w:rsidRDefault="00E951F6" w:rsidP="00F1161B">
      <w:pPr>
        <w:numPr>
          <w:ilvl w:val="0"/>
          <w:numId w:val="5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paleniska domowe (piece ceramiczne,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piecokuchnie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 piece wolnostojące, kominki),</w:t>
      </w:r>
    </w:p>
    <w:p w:rsidR="00E951F6" w:rsidRPr="00F1161B" w:rsidRDefault="00E951F6" w:rsidP="00F1161B">
      <w:pPr>
        <w:numPr>
          <w:ilvl w:val="0"/>
          <w:numId w:val="5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niewielkie kotłownie do 1 MW dostarczające ciepło do lokali usługowych lub warsztatów,</w:t>
      </w:r>
    </w:p>
    <w:p w:rsidR="00E951F6" w:rsidRPr="00F1161B" w:rsidRDefault="00E951F6" w:rsidP="00F1161B">
      <w:pPr>
        <w:numPr>
          <w:ilvl w:val="0"/>
          <w:numId w:val="5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kotłownie w obiektach użyteczności publicznej,</w:t>
      </w:r>
    </w:p>
    <w:p w:rsidR="00E951F6" w:rsidRPr="00F1161B" w:rsidRDefault="00E951F6" w:rsidP="00F1161B">
      <w:pPr>
        <w:numPr>
          <w:ilvl w:val="0"/>
          <w:numId w:val="5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kotłownie w obiektach handlu i usług.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 punktach adresowych, w których dla całego budynku wielorodzinnego występuje jedno źródło ciepła, wypełniania jest jedna ankieta dla całego obiektu. Natomiast w zabudowie wielorodzinnej, gdzie jest wiele indywidualnych instalacji grzewczych ankiety prowadzone są w poszczególnych lokalach.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Dla lokali lub budynków, których użytkownicy uniemożliwili przeprowadzenie inwentaryzacji, za sposób ogrzewania uznaje się wykorzystanie najbardziej emisyjnego źródła bezklasowego (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nieekologicznego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).</w:t>
      </w:r>
    </w:p>
    <w:p w:rsidR="0031529B" w:rsidRDefault="0031529B" w:rsidP="00F1161B">
      <w:pPr>
        <w:spacing w:line="276" w:lineRule="auto"/>
        <w:rPr>
          <w:rFonts w:ascii="Times New Roman" w:eastAsia="Times New Roman" w:hAnsi="Times New Roman"/>
          <w:b/>
          <w:color w:val="000000" w:themeColor="text1"/>
          <w:lang w:val="pl-PL" w:eastAsia="pl-PL"/>
        </w:rPr>
      </w:pPr>
    </w:p>
    <w:p w:rsidR="00E951F6" w:rsidRPr="00F1161B" w:rsidRDefault="00E951F6" w:rsidP="00F1161B">
      <w:pPr>
        <w:spacing w:line="276" w:lineRule="auto"/>
        <w:rPr>
          <w:rFonts w:ascii="Times New Roman" w:eastAsia="Times New Roman" w:hAnsi="Times New Roman"/>
          <w:b/>
          <w:color w:val="000000" w:themeColor="text1"/>
          <w:lang w:val="pl-PL" w:eastAsia="pl-PL" w:bidi="en-US"/>
        </w:rPr>
      </w:pP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5. Podczas inwentaryzacji, dla każdego inwentaryzowanego obiektu należy pozyskać następujące dane</w:t>
      </w:r>
      <w:r w:rsidRPr="00F1161B">
        <w:rPr>
          <w:rFonts w:ascii="Times New Roman" w:eastAsia="Times New Roman" w:hAnsi="Times New Roman"/>
          <w:b/>
          <w:color w:val="000000" w:themeColor="text1"/>
          <w:lang w:val="pl-PL" w:eastAsia="pl-PL" w:bidi="en-US"/>
        </w:rPr>
        <w:t>, w odniesieniu do każdego inwentaryzowanego obiektu</w:t>
      </w:r>
      <w:bookmarkStart w:id="2" w:name="_Hlk3375853"/>
      <w:bookmarkStart w:id="3" w:name="_Toc370808309"/>
      <w:bookmarkStart w:id="4" w:name="_Toc371506782"/>
      <w:bookmarkStart w:id="5" w:name="_Toc2856698"/>
      <w:r w:rsidRPr="00F1161B">
        <w:rPr>
          <w:rFonts w:ascii="Times New Roman" w:eastAsia="Times New Roman" w:hAnsi="Times New Roman"/>
          <w:b/>
          <w:color w:val="000000" w:themeColor="text1"/>
          <w:lang w:val="pl-PL" w:eastAsia="pl-PL" w:bidi="en-US"/>
        </w:rPr>
        <w:t>:</w:t>
      </w:r>
    </w:p>
    <w:bookmarkEnd w:id="2"/>
    <w:bookmarkEnd w:id="3"/>
    <w:bookmarkEnd w:id="4"/>
    <w:bookmarkEnd w:id="5"/>
    <w:p w:rsidR="00E951F6" w:rsidRPr="00F1161B" w:rsidRDefault="00E951F6" w:rsidP="00F1161B">
      <w:pPr>
        <w:numPr>
          <w:ilvl w:val="1"/>
          <w:numId w:val="4"/>
        </w:numPr>
        <w:suppressAutoHyphens/>
        <w:spacing w:line="276" w:lineRule="auto"/>
        <w:ind w:left="1276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dane adresowe: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lastRenderedPageBreak/>
        <w:t>powiat,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gmina,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miejscowość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(ew. dzielnica)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ulica,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numer budynku,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numer lokalu;</w:t>
      </w:r>
    </w:p>
    <w:p w:rsidR="00E951F6" w:rsidRPr="00F1161B" w:rsidRDefault="00E951F6" w:rsidP="00F1161B">
      <w:pPr>
        <w:numPr>
          <w:ilvl w:val="1"/>
          <w:numId w:val="4"/>
        </w:numPr>
        <w:suppressAutoHyphens/>
        <w:spacing w:line="276" w:lineRule="auto"/>
        <w:ind w:left="1276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dane o budynku/lokalu: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typ budynku,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powierzchnia użytkowa budynku/lokalu wyrażona w m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vertAlign w:val="superscript"/>
          <w:lang w:val="pl-PL" w:eastAsia="pl-PL"/>
        </w:rPr>
        <w:t>2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ocieplenie, przeprowadzone termomodernizacje;</w:t>
      </w:r>
    </w:p>
    <w:p w:rsidR="00E951F6" w:rsidRPr="00F1161B" w:rsidRDefault="00E951F6" w:rsidP="00F1161B">
      <w:pPr>
        <w:numPr>
          <w:ilvl w:val="1"/>
          <w:numId w:val="4"/>
        </w:numPr>
        <w:suppressAutoHyphens/>
        <w:spacing w:line="276" w:lineRule="auto"/>
        <w:ind w:left="1276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dane o źródle/źródłach ciepła – w każdym budynku lub lokalu: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kocioł na paliwa stałe: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liczba źródeł,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charakter produkowanego ciepła (ogrzewanie, ciepła woda użytkowa),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rodzaj komory spalania (otwarta, zamknięta, </w:t>
      </w:r>
      <w:bookmarkStart w:id="6" w:name="_Hlk35847826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brak informacji – jeśli nie jest znany</w:t>
      </w:r>
      <w:bookmarkEnd w:id="6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klasa kotła na podstawie tabliczki znamionowej lub dokumentu oświadczającego emisję (b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rak klasy lub brak informacji, klasa 3, klasa 4, klasa 5,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ekoprojekt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sposób podawania paliwa (r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ęczny bez wentylatora, ręczny z wentylatorem, podajnik automatyczny, brak informacji – jeśli nie jest znany),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urządzenie odpylające (jeśli t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ak, deklarowana sprawność urządzenia [%]),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sprawność cieplna</w:t>
      </w:r>
      <w:bookmarkStart w:id="7" w:name="_Hlk35847947"/>
      <w:bookmarkStart w:id="8" w:name="_Hlk35847773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(brak informacji – jeśli nie jest znana),</w:t>
      </w:r>
      <w:bookmarkEnd w:id="7"/>
      <w:bookmarkEnd w:id="8"/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rok instalacji,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rok produkcji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(brak informacji – jeśli nie jest znany),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moc [MW]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(brak informacji – jeśli nie jest znana),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źródło danych (z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 tabliczki znamionowej, z dokumentacji technicznej, inne </w:t>
      </w:r>
      <w:bookmarkStart w:id="9" w:name="_Hlk35849949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–</w:t>
      </w:r>
      <w:bookmarkEnd w:id="9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 podać jakie),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kocioł gazowy, kocioł olejowy, ogrzewanie elektryczne: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liczba źródeł,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charakter produkowanego ciepła (ogrzewanie, ciepła woda użytkowa), 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sieć ciepłownicza, pompa ciepła, kolektory słoneczne –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charakter produkowanego ciepła (ogrzewanie, ciepła woda użytkowa),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iCs/>
          <w:color w:val="000000" w:themeColor="text1"/>
          <w:lang w:val="pl-PL" w:eastAsia="pl-PL"/>
        </w:rPr>
        <w:t xml:space="preserve">piec, </w:t>
      </w:r>
      <w:proofErr w:type="spellStart"/>
      <w:r w:rsidRPr="00F1161B">
        <w:rPr>
          <w:rFonts w:ascii="Times New Roman" w:eastAsia="Times New Roman" w:hAnsi="Times New Roman"/>
          <w:iCs/>
          <w:color w:val="000000" w:themeColor="text1"/>
          <w:lang w:val="pl-PL" w:eastAsia="pl-PL"/>
        </w:rPr>
        <w:t>piecokuchnia</w:t>
      </w:r>
      <w:proofErr w:type="spellEnd"/>
      <w:r w:rsidRPr="00F1161B">
        <w:rPr>
          <w:rFonts w:ascii="Times New Roman" w:eastAsia="Times New Roman" w:hAnsi="Times New Roman"/>
          <w:iCs/>
          <w:color w:val="000000" w:themeColor="text1"/>
          <w:lang w:val="pl-PL" w:eastAsia="pl-PL"/>
        </w:rPr>
        <w:t>, piec wolnostojący, kominek: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liczba źródeł,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charakter produkowanego ciepła (ogrzewanie, ciepła woda użytkowa), 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rodzaj komory spalania (otwarta, zamknięta, brak informacji – jeśli nie jest znany),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proofErr w:type="spellStart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ekoprojekt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 (tak lub nie),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urządzenie odpylające (jeśli t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ak, deklarowana sprawność urządzenia [%]),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sprawność cieplna (brak informacji – jeśli nie jest znana),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lastRenderedPageBreak/>
        <w:t>rok instalacji,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rok produkcji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(brak informacji – jeśli nie jest znany),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moc [MW] </w:t>
      </w:r>
      <w:bookmarkStart w:id="10" w:name="_Hlk35848036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(brak informacji – jeśli nie jest znana),</w:t>
      </w:r>
      <w:bookmarkEnd w:id="10"/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źródło danych (z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 tabliczki znamionowej, z dokumentacji technicznej, inne – podać jakie),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iCs/>
          <w:color w:val="000000" w:themeColor="text1"/>
          <w:lang w:val="pl-PL" w:eastAsia="pl-PL"/>
        </w:rPr>
        <w:t>piec kaflowy: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liczba źródeł,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rodzaj komory spalania (otwarta, zamknięta, brak danych – jeśli nie jest znany),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urządzenie odpylające (jeśli t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ak, deklarowana sprawność urządzenia [%]),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sprawność cieplna (brak danych – jeśli nie jest znana),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rok instalacji,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>moc [MW] (brak danych – jeśli nie jest znana),</w:t>
      </w:r>
    </w:p>
    <w:p w:rsidR="00E951F6" w:rsidRPr="00F1161B" w:rsidRDefault="00E951F6" w:rsidP="00F1161B">
      <w:pPr>
        <w:numPr>
          <w:ilvl w:val="3"/>
          <w:numId w:val="4"/>
        </w:numPr>
        <w:suppressAutoHyphens/>
        <w:spacing w:line="276" w:lineRule="auto"/>
        <w:ind w:left="1843" w:hanging="283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źródło danych (z</w:t>
      </w:r>
      <w:r w:rsidRPr="00F1161B">
        <w:rPr>
          <w:rFonts w:ascii="Times New Roman" w:eastAsia="Times New Roman" w:hAnsi="Times New Roman"/>
          <w:color w:val="000000" w:themeColor="text1"/>
          <w:shd w:val="clear" w:color="auto" w:fill="FFFFFF"/>
          <w:lang w:val="pl-PL" w:eastAsia="pl-PL"/>
        </w:rPr>
        <w:t xml:space="preserve"> tabliczki znamionowej, z dokumentacji technicznej, inne – podać jakie),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iCs/>
          <w:color w:val="000000" w:themeColor="text1"/>
          <w:lang w:val="pl-PL" w:eastAsia="pl-PL"/>
        </w:rPr>
        <w:t>roczne zużycie paliw dla kotła/pieca (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węgiel orzech [ton], węgiel kostka [ton], węgiel groszek [ton], węgiel miał [ton], węgiel brunatny [ton], drewno kawałkowe [metr przestrzenny],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pellet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/brykiet [ton], inna biomasa [ton], gaz przewodowy (sieć) [m</w:t>
      </w:r>
      <w:r w:rsidRPr="00F1161B">
        <w:rPr>
          <w:rFonts w:ascii="Times New Roman" w:eastAsia="Times New Roman" w:hAnsi="Times New Roman"/>
          <w:color w:val="000000" w:themeColor="text1"/>
          <w:vertAlign w:val="superscript"/>
          <w:lang w:val="pl-PL" w:eastAsia="pl-PL"/>
        </w:rPr>
        <w:t>3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], gaz butla/zbiornik LPG/zbiornik LNG [m</w:t>
      </w:r>
      <w:r w:rsidRPr="00F1161B">
        <w:rPr>
          <w:rFonts w:ascii="Times New Roman" w:eastAsia="Times New Roman" w:hAnsi="Times New Roman"/>
          <w:color w:val="000000" w:themeColor="text1"/>
          <w:vertAlign w:val="superscript"/>
          <w:lang w:val="pl-PL" w:eastAsia="pl-PL"/>
        </w:rPr>
        <w:t>3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], olej opałowy [litr], brak informacji – jeśli nie jest znane),</w:t>
      </w:r>
    </w:p>
    <w:p w:rsidR="00E951F6" w:rsidRPr="00F1161B" w:rsidRDefault="00E951F6" w:rsidP="00F1161B">
      <w:pPr>
        <w:numPr>
          <w:ilvl w:val="2"/>
          <w:numId w:val="4"/>
        </w:numPr>
        <w:suppressAutoHyphens/>
        <w:spacing w:line="276" w:lineRule="auto"/>
        <w:ind w:left="1560" w:hanging="284"/>
        <w:contextualSpacing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plany dotyczące zmiany sposobu ogrzewania.</w:t>
      </w:r>
    </w:p>
    <w:p w:rsidR="00E951F6" w:rsidRPr="00F1161B" w:rsidRDefault="00E951F6" w:rsidP="00F1161B">
      <w:pPr>
        <w:suppressAutoHyphens/>
        <w:spacing w:line="276" w:lineRule="auto"/>
        <w:ind w:left="1276"/>
        <w:jc w:val="both"/>
        <w:rPr>
          <w:rFonts w:ascii="Times New Roman" w:eastAsia="BatangChe" w:hAnsi="Times New Roman"/>
          <w:bCs/>
          <w:color w:val="000000" w:themeColor="text1"/>
          <w:lang w:val="pl-PL" w:eastAsia="pl-PL"/>
        </w:rPr>
      </w:pPr>
    </w:p>
    <w:p w:rsidR="00E951F6" w:rsidRPr="00F1161B" w:rsidRDefault="00E951F6" w:rsidP="00F1161B">
      <w:pPr>
        <w:spacing w:line="276" w:lineRule="auto"/>
        <w:rPr>
          <w:rFonts w:ascii="Times New Roman" w:eastAsia="Times New Roman" w:hAnsi="Times New Roman"/>
          <w:b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7. Raport końcowy z przeprowadzonej inwentaryzacji powinien zawierać podsumowanie obejmujące:</w:t>
      </w:r>
    </w:p>
    <w:p w:rsidR="00E951F6" w:rsidRPr="00F1161B" w:rsidRDefault="00E951F6" w:rsidP="00F1161B">
      <w:pPr>
        <w:numPr>
          <w:ilvl w:val="0"/>
          <w:numId w:val="2"/>
        </w:numPr>
        <w:spacing w:line="276" w:lineRule="auto"/>
        <w:ind w:left="851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dane adresowe gminy,</w:t>
      </w:r>
    </w:p>
    <w:p w:rsidR="00E951F6" w:rsidRPr="00F1161B" w:rsidRDefault="00E951F6" w:rsidP="00F1161B">
      <w:pPr>
        <w:numPr>
          <w:ilvl w:val="0"/>
          <w:numId w:val="2"/>
        </w:numPr>
        <w:spacing w:line="276" w:lineRule="auto"/>
        <w:ind w:left="851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wskazanie osoby do kontaktu,</w:t>
      </w:r>
    </w:p>
    <w:p w:rsidR="00E951F6" w:rsidRPr="00F1161B" w:rsidRDefault="00E951F6" w:rsidP="00F1161B">
      <w:pPr>
        <w:numPr>
          <w:ilvl w:val="0"/>
          <w:numId w:val="2"/>
        </w:numPr>
        <w:spacing w:line="276" w:lineRule="auto"/>
        <w:ind w:left="851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wykorzystaną metodę,</w:t>
      </w:r>
    </w:p>
    <w:p w:rsidR="00E951F6" w:rsidRPr="00F1161B" w:rsidRDefault="00E951F6" w:rsidP="00F1161B">
      <w:pPr>
        <w:numPr>
          <w:ilvl w:val="0"/>
          <w:numId w:val="2"/>
        </w:numPr>
        <w:spacing w:line="276" w:lineRule="auto"/>
        <w:ind w:left="851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zestawienie uzyskanych wyników, w szczególności: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liczbę zinwentaryzowanych budynków i lokali,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łączną powierzchnię użytkową zinwentaryzowanych budynków w podziale na sposób ogrzewania [m</w:t>
      </w:r>
      <w:r w:rsidRPr="00F1161B">
        <w:rPr>
          <w:rFonts w:ascii="Times New Roman" w:eastAsia="Times New Roman" w:hAnsi="Times New Roman"/>
          <w:color w:val="000000" w:themeColor="text1"/>
          <w:vertAlign w:val="superscript"/>
          <w:lang w:val="pl-PL" w:eastAsia="pl-PL"/>
        </w:rPr>
        <w:t>2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] (kotły opalane węglem, kotły opalane drewnem, kotły opalane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pelletem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, kotły gazowe, kotły olejowe, ogrzewanie elektryczne, sieć ciepłownicza, pompa ciepła, kolektory słoneczne, piec,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piecokuchnia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 piec wolnostojący, kominek, piec kaflowy i inne),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liczbę budynków nieocieplonych,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liczbę i rodzaj źródeł ciepła w podziale na kotły opalane węglem, kotły opalane drewnem, kotły opalane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pelletem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, kotły gazowe, kotły olejowe, ogrzewanie elektryczne, sieć ciepłownicza, pompa ciepła, kolektory słoneczne, piec,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piecokuchnia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 piec wolnostojący, kominek, piec kaflowy i inne,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liczbę źródeł ciepła spełniających wymogi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ekoprojektu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łączne roczne zużycie paliw w zinwentaryzowanych budynkach (węgiel orzech [ton], węgiel kostka [ton], węgiel groszek [ton], węgiel miał [ton], węgiel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lastRenderedPageBreak/>
        <w:t xml:space="preserve">brunatny [ton], drewno kawałkowe [metr przestrzenny],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pellet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/brykiet [ton], inna biomasa [ton], gaz przewodowy (sieć) [m</w:t>
      </w:r>
      <w:r w:rsidRPr="00F1161B">
        <w:rPr>
          <w:rFonts w:ascii="Times New Roman" w:eastAsia="Times New Roman" w:hAnsi="Times New Roman"/>
          <w:color w:val="000000" w:themeColor="text1"/>
          <w:vertAlign w:val="superscript"/>
          <w:lang w:val="pl-PL" w:eastAsia="pl-PL"/>
        </w:rPr>
        <w:t>3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], gaz butla/zbiornik LPG/zbiornik LNG [m</w:t>
      </w:r>
      <w:r w:rsidRPr="00F1161B">
        <w:rPr>
          <w:rFonts w:ascii="Times New Roman" w:eastAsia="Times New Roman" w:hAnsi="Times New Roman"/>
          <w:color w:val="000000" w:themeColor="text1"/>
          <w:vertAlign w:val="superscript"/>
          <w:lang w:val="pl-PL" w:eastAsia="pl-PL"/>
        </w:rPr>
        <w:t>3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], olej opałowy [litr]) – w przypadku niekompletnych danych należy wskazać również liczbę budynków i lokali, dla których nie zebrano danych,</w:t>
      </w:r>
    </w:p>
    <w:p w:rsidR="00E951F6" w:rsidRPr="00F1161B" w:rsidRDefault="00E951F6" w:rsidP="00F1161B">
      <w:pPr>
        <w:numPr>
          <w:ilvl w:val="1"/>
          <w:numId w:val="3"/>
        </w:numPr>
        <w:spacing w:line="276" w:lineRule="auto"/>
        <w:ind w:left="1418" w:hanging="567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podsumowanie zebranych informacji dotyczących planów zmiany sposobu ogrzewania.</w:t>
      </w:r>
    </w:p>
    <w:p w:rsidR="00E951F6" w:rsidRPr="00F1161B" w:rsidRDefault="00E951F6" w:rsidP="00F1161B">
      <w:pP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Raport końcowy należy sporządzić  w wersji papierowej (3 egzemplarze) wraz z wersją elektroniczną w formacie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docx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lub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xlsx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 pdf.</w:t>
      </w:r>
    </w:p>
    <w:p w:rsidR="00E951F6" w:rsidRPr="00F1161B" w:rsidRDefault="00E951F6" w:rsidP="00F1161B">
      <w:pPr>
        <w:spacing w:line="276" w:lineRule="auto"/>
        <w:ind w:left="851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E951F6" w:rsidRPr="00F1161B" w:rsidRDefault="00E951F6" w:rsidP="00F1161B">
      <w:pPr>
        <w:spacing w:line="276" w:lineRule="auto"/>
        <w:contextualSpacing/>
        <w:jc w:val="both"/>
        <w:rPr>
          <w:rFonts w:ascii="Times New Roman" w:eastAsia="Times New Roman" w:hAnsi="Times New Roman"/>
          <w:b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/>
          <w:bCs/>
          <w:color w:val="000000" w:themeColor="text1"/>
          <w:lang w:val="pl-PL" w:eastAsia="pl-PL"/>
        </w:rPr>
        <w:t xml:space="preserve">8. </w:t>
      </w:r>
      <w:r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Na podstawie wykonanej szczegółowej inwentaryzacji źródeł ciepła Wykonawca utworzy bazę danych zawierającą zebrane dane wymagane dla każdego inwentaryzowanego obiektu. </w:t>
      </w:r>
    </w:p>
    <w:p w:rsidR="00E951F6" w:rsidRPr="00F1161B" w:rsidRDefault="005106E4" w:rsidP="00F1161B">
      <w:pPr>
        <w:spacing w:line="276" w:lineRule="auto"/>
        <w:ind w:left="360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1. </w:t>
      </w:r>
      <w:r w:rsidR="00E951F6"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Informacje dotyczące wykonania oprogramowania do obsługi bazy danych:</w:t>
      </w:r>
    </w:p>
    <w:p w:rsidR="00E951F6" w:rsidRPr="00F1161B" w:rsidRDefault="00E951F6" w:rsidP="00F1161B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dostęp do bazy danych i jej modyfikacja odbywać się będzie przez przeglądarkę internetową,</w:t>
      </w:r>
    </w:p>
    <w:p w:rsidR="00E951F6" w:rsidRPr="00F1161B" w:rsidRDefault="00E951F6" w:rsidP="00F1161B">
      <w:pPr>
        <w:numPr>
          <w:ilvl w:val="0"/>
          <w:numId w:val="7"/>
        </w:numPr>
        <w:spacing w:line="276" w:lineRule="auto"/>
        <w:contextualSpacing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logowanie  użytkowników  za pomocą loginu i hasła,</w:t>
      </w:r>
    </w:p>
    <w:p w:rsidR="00E951F6" w:rsidRPr="00F1161B" w:rsidRDefault="00E951F6" w:rsidP="00F1161B">
      <w:pPr>
        <w:numPr>
          <w:ilvl w:val="0"/>
          <w:numId w:val="7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możliwość nadawania ról dla użytkowników,</w:t>
      </w:r>
    </w:p>
    <w:p w:rsidR="00E951F6" w:rsidRPr="00F1161B" w:rsidRDefault="00E951F6" w:rsidP="00F1161B">
      <w:pPr>
        <w:numPr>
          <w:ilvl w:val="0"/>
          <w:numId w:val="7"/>
        </w:numPr>
        <w:spacing w:line="276" w:lineRule="auto"/>
        <w:ind w:hanging="363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posiadanie opcji umożliwiających m.in.:</w:t>
      </w:r>
    </w:p>
    <w:p w:rsidR="00E951F6" w:rsidRPr="00F1161B" w:rsidRDefault="00E951F6" w:rsidP="00F1161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obliczenie i przedstawienie wielkości emisji :pyłu zawieszonego PM10,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benzo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(a)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pirenu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, pyłu zawieszonego PM2,5, SO2, CO, CO2, </w:t>
      </w:r>
      <w:proofErr w:type="spellStart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NOx</w:t>
      </w:r>
      <w:proofErr w:type="spellEnd"/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, przed i po wymianie pieca  na paliwo stałe;</w:t>
      </w:r>
    </w:p>
    <w:p w:rsidR="00E951F6" w:rsidRPr="00F1161B" w:rsidRDefault="00E951F6" w:rsidP="00F1161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wykorzystanie słowników zawierających nazwy paliw, źródeł ciepła, wskaźników do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>obliczania emisji z możliwością ich edycji;</w:t>
      </w:r>
    </w:p>
    <w:p w:rsidR="00E951F6" w:rsidRPr="00F1161B" w:rsidRDefault="00E951F6" w:rsidP="00F1161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wykorzystanie punktów adresowych przy edycji danych lokalizujących źródło ciepła;</w:t>
      </w:r>
    </w:p>
    <w:p w:rsidR="00E951F6" w:rsidRPr="00F1161B" w:rsidRDefault="00E951F6" w:rsidP="00F1161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eksport zawartości bazy danych do formatu pdf i xls.</w:t>
      </w:r>
    </w:p>
    <w:p w:rsidR="00E951F6" w:rsidRPr="00F1161B" w:rsidRDefault="00E951F6" w:rsidP="00F1161B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Informacje dotyczące wdrożenia oprogramowania do obsługi bazy danych:</w:t>
      </w:r>
    </w:p>
    <w:p w:rsidR="00E951F6" w:rsidRPr="00F1161B" w:rsidRDefault="00E951F6" w:rsidP="00F1161B">
      <w:pPr>
        <w:numPr>
          <w:ilvl w:val="0"/>
          <w:numId w:val="8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Wykonawca zobowiązuje się do instalacji oprogramowania obsługującego bazę danych na infrastrukturze informatycznej Zamawiającego;</w:t>
      </w:r>
    </w:p>
    <w:p w:rsidR="00E951F6" w:rsidRPr="00F1161B" w:rsidRDefault="00E951F6" w:rsidP="00F1161B">
      <w:pPr>
        <w:numPr>
          <w:ilvl w:val="0"/>
          <w:numId w:val="8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Wykonawca zobowiązuje się do przeszkolenia użytkowników pracujących na bazie danych;</w:t>
      </w:r>
    </w:p>
    <w:p w:rsidR="00E951F6" w:rsidRPr="00F1161B" w:rsidRDefault="00E951F6" w:rsidP="00F1161B">
      <w:pPr>
        <w:numPr>
          <w:ilvl w:val="0"/>
          <w:numId w:val="8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Zamawiający udostępni Wykonawcy </w:t>
      </w:r>
      <w:r w:rsidR="00376AEB">
        <w:rPr>
          <w:rFonts w:ascii="Times New Roman" w:eastAsia="Times New Roman" w:hAnsi="Times New Roman"/>
          <w:color w:val="000000" w:themeColor="text1"/>
          <w:lang w:val="pl-PL" w:eastAsia="pl-PL"/>
        </w:rPr>
        <w:t>komputer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do zainstalowania oprogramowania do obsługi bazy danych;</w:t>
      </w:r>
    </w:p>
    <w:p w:rsidR="00E951F6" w:rsidRPr="00F1161B" w:rsidRDefault="00E951F6" w:rsidP="00F1161B">
      <w:pPr>
        <w:numPr>
          <w:ilvl w:val="0"/>
          <w:numId w:val="8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Wykonawca zobowiązany jest do przekazania Zamawiającemu licencji na oprogramowanie wykorzystywane do działania bazy danych;</w:t>
      </w:r>
    </w:p>
    <w:p w:rsidR="00E951F6" w:rsidRPr="00F1161B" w:rsidRDefault="00E951F6" w:rsidP="00F1161B">
      <w:pPr>
        <w:numPr>
          <w:ilvl w:val="0"/>
          <w:numId w:val="8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Wykonawca zobowiązany jest do stworzenia bazy danych w technologii i z wykorzystaniem oprogramowania, które nie będzie generować dodatkowych kosztów z tytułu przedłużenia licencji na oprogramowanie.</w:t>
      </w:r>
    </w:p>
    <w:p w:rsidR="00E951F6" w:rsidRPr="00F1161B" w:rsidRDefault="00E951F6" w:rsidP="00F1161B">
      <w:pPr>
        <w:numPr>
          <w:ilvl w:val="0"/>
          <w:numId w:val="4"/>
        </w:numPr>
        <w:spacing w:line="276" w:lineRule="auto"/>
        <w:contextualSpacing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lastRenderedPageBreak/>
        <w:t>Wykonawca zobowiązuje się do świadczenia serwisu gwarancyjnego przez okres 2 lat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 xml:space="preserve"> i rozpoczęcia  usuwania usterek oprogramowania w czasie nie dłuższym niż 48 godzin od czasu zgłoszenia przez Zamawiającego.</w:t>
      </w:r>
    </w:p>
    <w:p w:rsidR="00E951F6" w:rsidRPr="00F1161B" w:rsidRDefault="00E951F6" w:rsidP="00F1161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E951F6" w:rsidRPr="00F1161B" w:rsidRDefault="00DE3D83" w:rsidP="00F1161B">
      <w:pPr>
        <w:spacing w:line="276" w:lineRule="auto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>
        <w:rPr>
          <w:rFonts w:ascii="Times New Roman" w:eastAsia="Times New Roman" w:hAnsi="Times New Roman"/>
          <w:b/>
          <w:color w:val="000000" w:themeColor="text1"/>
          <w:lang w:val="pl-PL" w:eastAsia="pl-PL"/>
        </w:rPr>
        <w:t>9</w:t>
      </w:r>
      <w:r w:rsidR="00E951F6" w:rsidRPr="00F1161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. Wykonanie usługi przeprowadzenia audytów energetycznych budynków dotyczy następujących obiektów</w:t>
      </w:r>
      <w:r w:rsidR="00E951F6"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:</w:t>
      </w:r>
      <w:r w:rsidR="00E951F6"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 </w:t>
      </w:r>
    </w:p>
    <w:p w:rsidR="00E951F6" w:rsidRPr="00F1161B" w:rsidRDefault="00E951F6" w:rsidP="00F1161B">
      <w:pPr>
        <w:spacing w:line="276" w:lineRule="auto"/>
        <w:ind w:left="284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  -10 budynków remiz OSP </w:t>
      </w:r>
    </w:p>
    <w:p w:rsidR="00E951F6" w:rsidRPr="00F1161B" w:rsidRDefault="00E951F6" w:rsidP="00F1161B">
      <w:pPr>
        <w:spacing w:line="276" w:lineRule="auto"/>
        <w:ind w:left="284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  - 2 budynki świetlic wiejskich</w:t>
      </w:r>
    </w:p>
    <w:p w:rsidR="00E951F6" w:rsidRPr="00F1161B" w:rsidRDefault="00E951F6" w:rsidP="00F1161B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-2 budynki szkolne</w:t>
      </w:r>
    </w:p>
    <w:p w:rsidR="00E951F6" w:rsidRPr="00F1161B" w:rsidRDefault="00E951F6" w:rsidP="00F1161B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-budynek przedszkola</w:t>
      </w:r>
    </w:p>
    <w:p w:rsidR="00E951F6" w:rsidRPr="00F1161B" w:rsidRDefault="00E951F6" w:rsidP="00F1161B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-budynek Urzędu Miasta i Gminy Sanniki (oraz budynek sąsiadujący)</w:t>
      </w:r>
    </w:p>
    <w:p w:rsidR="00E951F6" w:rsidRDefault="00E951F6" w:rsidP="00F1161B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-budynek ośrodka zdrowia</w:t>
      </w:r>
    </w:p>
    <w:p w:rsidR="00F1161B" w:rsidRPr="00F1161B" w:rsidRDefault="00F1161B" w:rsidP="00F1161B">
      <w:pPr>
        <w:spacing w:line="276" w:lineRule="auto"/>
        <w:ind w:left="426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</w:p>
    <w:p w:rsidR="00E951F6" w:rsidRPr="00376AEB" w:rsidRDefault="00E951F6" w:rsidP="00376AEB">
      <w:pPr>
        <w:spacing w:line="276" w:lineRule="auto"/>
        <w:ind w:firstLine="360"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376AE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Audyt energetyczny zostanie przeprowadzony w następujących budynkach użyteczności publicznej: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remizy Ochotniczej Straży Pożarnej w Czyżewie - Czyżew 32, 09-540 Sanniki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remizy Ochotniczej Straży Pożarnej w Krubinie -Krubin 60, 09-540 Sanniki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remizy Ochotniczej Straży Pożarnej w Osmolinie – Osmolin, ul. Rynek 5, 09-540 Sanniki 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remizy Ochotniczej Straży Pożarnej w Lwówku –Lwówek 48,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remizy Ochotniczej Straży Pożarnej w Szkaradzie – Szkarada 49A,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remizy Ochotniczej Straży Pożarnej w Staropolu- </w:t>
      </w:r>
      <w:proofErr w:type="spellStart"/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Staropól</w:t>
      </w:r>
      <w:proofErr w:type="spellEnd"/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 28,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remizy Ochotniczej Straży Pożarnej w Sielcach, Sielce 29,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Ochotniczej Straży Pożarnej w Sannikach, ul. Warszawska 119,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Ochotniczej Straży Pożarnej w Brzezi - Brzezia 42A,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Ochotniczej Straży Pożarnej w Wólce –Wólka Wysoka 5A,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świetlicy wiejskiej w </w:t>
      </w:r>
      <w:proofErr w:type="spellStart"/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Lubikowie</w:t>
      </w:r>
      <w:proofErr w:type="spellEnd"/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, Lubików, działka ew. nr 77 (brak numeru nieruchomości),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świetlicy wiejskiej w Barciku Nowym – Barcik Nowy 47,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Przedszkola Samorządowego w Sannikach – ul. Wólczyńska 75, 09-540 Sanniki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Urzędu Miasta i Gminy Sanniki - ul. Warszawska 169A 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Przychodnia lekarska w Sannikach - ul. Warszawska 169A , 09-540 Sanniki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>Budynek Samorządowego Ośrodka Zdrowia w Sannikach ul. Krótka 2, 09-540 Sanniki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Szkoły Podstawowej im. Fryderyka Chopina w Sannikach, ul. Warszawska 183, 09-540 Sanniki </w:t>
      </w:r>
    </w:p>
    <w:p w:rsidR="00E951F6" w:rsidRPr="00F1161B" w:rsidRDefault="00E951F6" w:rsidP="00F1161B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bCs/>
          <w:color w:val="000000" w:themeColor="text1"/>
          <w:lang w:val="pl-PL" w:eastAsia="pl-PL"/>
        </w:rPr>
        <w:t xml:space="preserve">Budynek Szkoły Podstawowej im. Fryderyka Chopina w Sannikach – Osmolin, ul. Sannicka 4, 09-540 Sanniki </w:t>
      </w:r>
    </w:p>
    <w:p w:rsidR="005106E4" w:rsidRPr="00F1161B" w:rsidRDefault="005106E4" w:rsidP="00F1161B">
      <w:pPr>
        <w:spacing w:line="276" w:lineRule="auto"/>
        <w:ind w:left="360"/>
        <w:contextualSpacing/>
        <w:jc w:val="both"/>
        <w:rPr>
          <w:rFonts w:ascii="Times New Roman" w:eastAsia="Times New Roman" w:hAnsi="Times New Roman"/>
          <w:bCs/>
          <w:color w:val="000000" w:themeColor="text1"/>
          <w:lang w:val="pl-PL" w:eastAsia="pl-PL"/>
        </w:rPr>
      </w:pPr>
    </w:p>
    <w:p w:rsidR="0031529B" w:rsidRPr="00F1161B" w:rsidRDefault="00E951F6" w:rsidP="0031529B">
      <w:pPr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DE3D83">
        <w:rPr>
          <w:rFonts w:ascii="Times New Roman" w:eastAsia="Times New Roman" w:hAnsi="Times New Roman"/>
          <w:b/>
          <w:color w:val="000000" w:themeColor="text1"/>
          <w:lang w:val="pl-PL" w:eastAsia="pl-PL"/>
        </w:rPr>
        <w:lastRenderedPageBreak/>
        <w:t xml:space="preserve">  </w:t>
      </w:r>
      <w:r w:rsidR="00DE3D83" w:rsidRPr="00DE3D83">
        <w:rPr>
          <w:rFonts w:ascii="Times New Roman" w:eastAsia="Times New Roman" w:hAnsi="Times New Roman"/>
          <w:b/>
          <w:color w:val="000000" w:themeColor="text1"/>
          <w:lang w:val="pl-PL" w:eastAsia="pl-PL"/>
        </w:rPr>
        <w:t>10</w:t>
      </w:r>
      <w:r w:rsidRPr="00DE3D83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. </w:t>
      </w:r>
      <w:r w:rsidR="0031529B" w:rsidRPr="00DE3D83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 Przed wykonaniem inwentaryzacji Wykonawca ma obowiązek przeprowadzić   kampanię</w:t>
      </w:r>
      <w:r w:rsidR="0031529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 informująco-promocyjną dla </w:t>
      </w:r>
      <w:r w:rsidR="0031529B" w:rsidRPr="0031529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mieszkańców </w:t>
      </w:r>
      <w:r w:rsidR="0031529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dotyczącą </w:t>
      </w:r>
      <w:r w:rsidR="0031529B" w:rsidRPr="0031529B">
        <w:rPr>
          <w:rFonts w:ascii="Times New Roman" w:eastAsia="Times New Roman" w:hAnsi="Times New Roman"/>
          <w:b/>
          <w:color w:val="000000" w:themeColor="text1"/>
          <w:lang w:val="pl-PL" w:eastAsia="pl-PL"/>
        </w:rPr>
        <w:t xml:space="preserve"> planowanej in</w:t>
      </w:r>
      <w:r w:rsidR="00045BAB">
        <w:rPr>
          <w:rFonts w:ascii="Times New Roman" w:eastAsia="Times New Roman" w:hAnsi="Times New Roman"/>
          <w:b/>
          <w:color w:val="000000" w:themeColor="text1"/>
          <w:lang w:val="pl-PL" w:eastAsia="pl-PL"/>
        </w:rPr>
        <w:t>wentaryzacji</w:t>
      </w:r>
      <w:r w:rsidR="0031529B"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. </w:t>
      </w:r>
    </w:p>
    <w:p w:rsidR="00E951F6" w:rsidRPr="0031529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31529B">
        <w:rPr>
          <w:rFonts w:ascii="Times New Roman" w:eastAsia="Times New Roman" w:hAnsi="Times New Roman"/>
          <w:color w:val="000000" w:themeColor="text1"/>
          <w:lang w:val="pl-PL" w:eastAsia="pl-PL"/>
        </w:rPr>
        <w:t>Celem przeprowadzenia kampanii informacyjno-promocyjnej jest: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31529B">
        <w:rPr>
          <w:rFonts w:ascii="Times New Roman" w:eastAsia="Times New Roman" w:hAnsi="Times New Roman"/>
          <w:color w:val="000000" w:themeColor="text1"/>
          <w:lang w:val="pl-PL" w:eastAsia="pl-PL"/>
        </w:rPr>
        <w:t>-informowanie oraz zachęcanie do współpracy  mieszkańców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gminy przy  planowanej przez Miasto i  Gminę Sanniki inwentaryzacji źródeł niskiej emisji i przy tworzeniu bazy danych źródeł niskiej emisji, a ta</w:t>
      </w:r>
      <w:r w:rsidR="0031529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kże informowanie o korzyściach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z niej wynikających, 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- zbudowanie świadomości różnych grup społecznych w zakresie ograniczania niskiej emisji oraz korzyści zdrowotnych i społecznych wynikających z eliminacji niskiej emisji. 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Zadanie należy tak zrealizować aby zapewnić efektywne skoordynowanie działań</w:t>
      </w:r>
      <w:r w:rsidR="0031529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inwentaryzacyjnych i edukacyjnych wspierających inwentaryzację.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Zakres rzeczowy kampanii informacyjno-promocyjnej: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     a) Wykonanie ulotek, przybliżających temat „niskiej emisji" oraz korzyści zdrowotnych i społecznych wynikających z jej ograniczenia. Materiały te mają zachęcić mieszkańców do współpracy przy planowanej przez Urząd Miasta i Gminy Sanniki inwentaryzacji źródeł niskiej emisji i tworzeniu bazy danych źródeł niskiej emisji.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Wykonanie, wydruk i dystrybucja na koszt Wykonawcy, zaakceptowanych przez Zamawiającego ulotek A4 składanych na 3 - 2.000 sztuk (dystrybucja do domów jednorodzinnych na terenie Miasta i Gminy Sanniki). Ulotki – papier: pełen kolor na obu stronach. W przypadku uwag Zamawiającego Wykonawca zobowiązany jest do nanoszenia zmian przed wydrukiem do momentu uzyskania ostatecznej akceptacji przez Zamawiającego.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    b) Wykonanie plakatu, przybliżającego temat „niskiej emisji" oraz korzyści zdrowotnych i społecznych wynikających z jej ograniczenia. Materiał ten ma zachęcić mieszkańców do współpracy przy planowanej przez Urząd Miasta i Gminy Sanniki, inwentaryzacji źródeł niskiej emisji i tworzeniu bazy danych źródeł niskiej emisji.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Wykonanie, wydruk i kolportaż na koszt Wykonawcy, zaakceptowanych przez Zamawiającego plakatów formatu A2 - 50 sztuk. Plakaty - papier: kreda, grubość 250g/m2, pełen kolor, zafoliowane. Kolportaż na słupach ogłoszeniowych na terenie sołectw Miasta i Gminy Sanniki, w szkołach, przedszkolu oraz w innych placówkach </w:t>
      </w: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br/>
        <w:t>i miejscach na terenie gminy, wskazanych przez Zamawiającego. Ekspozycja co najmniej  7 dni na terenie gminy.</w:t>
      </w:r>
    </w:p>
    <w:p w:rsidR="00E951F6" w:rsidRPr="00F1161B" w:rsidRDefault="00E951F6" w:rsidP="00F1161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>W przypadku uwag Zamawiającego Wykonawca zobowiązany jest do nanoszenia zmian przez wydrukiem do momentu uzyskania ostatecznej akceptacji przez Zamawiającego.</w:t>
      </w:r>
    </w:p>
    <w:p w:rsidR="00E951F6" w:rsidRDefault="00E951F6" w:rsidP="00F1161B">
      <w:pPr>
        <w:tabs>
          <w:tab w:val="left" w:pos="4395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  <w:r w:rsidRPr="00F1161B">
        <w:rPr>
          <w:rFonts w:ascii="Times New Roman" w:eastAsia="Times New Roman" w:hAnsi="Times New Roman"/>
          <w:color w:val="000000" w:themeColor="text1"/>
          <w:lang w:val="pl-PL" w:eastAsia="pl-PL"/>
        </w:rPr>
        <w:t xml:space="preserve">      c) Opracowanie i przesłanie do publikacji tekstu ogłoszenia do tygodnika  lokalnego na ½ strony A4, czcionką Arial o rozmiarze 12p. Koszty 2 publikacji po stronnie wykonawcy. Treść ogłoszenia do uzgodnienia z Zamawiającym. </w:t>
      </w:r>
    </w:p>
    <w:p w:rsidR="00400B40" w:rsidRDefault="00400B40" w:rsidP="00F1161B">
      <w:pPr>
        <w:tabs>
          <w:tab w:val="left" w:pos="4395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p w:rsidR="00400B40" w:rsidRPr="00376AEB" w:rsidRDefault="00376AEB" w:rsidP="00400B40">
      <w:pPr>
        <w:pStyle w:val="Nagwek2"/>
        <w:jc w:val="left"/>
        <w:rPr>
          <w:rFonts w:eastAsia="Times New Roman"/>
          <w:b w:val="0"/>
          <w:lang w:eastAsia="pl-PL"/>
        </w:rPr>
      </w:pPr>
      <w:r>
        <w:rPr>
          <w:color w:val="000000"/>
        </w:rPr>
        <w:t>1</w:t>
      </w:r>
      <w:r w:rsidR="00DE3D83">
        <w:rPr>
          <w:color w:val="000000"/>
        </w:rPr>
        <w:t>1</w:t>
      </w:r>
      <w:r w:rsidR="00400B40">
        <w:rPr>
          <w:color w:val="000000"/>
        </w:rPr>
        <w:t>.</w:t>
      </w:r>
      <w:r w:rsidR="00400B40" w:rsidRPr="007F13E6">
        <w:rPr>
          <w:color w:val="000000"/>
        </w:rPr>
        <w:t xml:space="preserve"> Termin wykonania zamówienia</w:t>
      </w:r>
      <w:r w:rsidR="00400B40">
        <w:rPr>
          <w:color w:val="000000"/>
        </w:rPr>
        <w:t xml:space="preserve">: </w:t>
      </w:r>
      <w:r w:rsidR="00400B40" w:rsidRPr="00376AEB">
        <w:rPr>
          <w:b w:val="0"/>
          <w:color w:val="000000"/>
        </w:rPr>
        <w:t>od dnia podpisania umowy do dnia 10.12.20</w:t>
      </w:r>
      <w:r w:rsidR="00400B40" w:rsidRPr="00376AEB">
        <w:rPr>
          <w:b w:val="0"/>
        </w:rPr>
        <w:t xml:space="preserve">20r. </w:t>
      </w:r>
    </w:p>
    <w:p w:rsidR="00400B40" w:rsidRPr="00376AEB" w:rsidRDefault="00400B40" w:rsidP="00F1161B">
      <w:pPr>
        <w:tabs>
          <w:tab w:val="left" w:pos="4395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 w:themeColor="text1"/>
          <w:lang w:val="pl-PL" w:eastAsia="pl-PL"/>
        </w:rPr>
      </w:pPr>
    </w:p>
    <w:sectPr w:rsidR="00400B40" w:rsidRPr="00376A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BA" w:rsidRDefault="007A2CBA" w:rsidP="00347733">
      <w:r>
        <w:separator/>
      </w:r>
    </w:p>
  </w:endnote>
  <w:endnote w:type="continuationSeparator" w:id="0">
    <w:p w:rsidR="007A2CBA" w:rsidRDefault="007A2CBA" w:rsidP="0034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438834"/>
      <w:docPartObj>
        <w:docPartGallery w:val="Page Numbers (Bottom of Page)"/>
        <w:docPartUnique/>
      </w:docPartObj>
    </w:sdtPr>
    <w:sdtEndPr/>
    <w:sdtContent>
      <w:p w:rsidR="00347733" w:rsidRDefault="003477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3B6" w:rsidRPr="005C13B6">
          <w:rPr>
            <w:noProof/>
            <w:lang w:val="pl-PL"/>
          </w:rPr>
          <w:t>7</w:t>
        </w:r>
        <w:r>
          <w:fldChar w:fldCharType="end"/>
        </w:r>
      </w:p>
    </w:sdtContent>
  </w:sdt>
  <w:p w:rsidR="00347733" w:rsidRDefault="00347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BA" w:rsidRDefault="007A2CBA" w:rsidP="00347733">
      <w:r>
        <w:separator/>
      </w:r>
    </w:p>
  </w:footnote>
  <w:footnote w:type="continuationSeparator" w:id="0">
    <w:p w:rsidR="007A2CBA" w:rsidRDefault="007A2CBA" w:rsidP="00347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211"/>
      <w:gridCol w:w="5896"/>
      <w:gridCol w:w="1624"/>
    </w:tblGrid>
    <w:tr w:rsidR="005C13B6" w:rsidRPr="005C13B6" w:rsidTr="00EC7103">
      <w:trPr>
        <w:trHeight w:hRule="exact" w:val="940"/>
        <w:jc w:val="center"/>
      </w:trPr>
      <w:tc>
        <w:tcPr>
          <w:tcW w:w="2211" w:type="dxa"/>
        </w:tcPr>
        <w:p w:rsidR="005C13B6" w:rsidRPr="005C13B6" w:rsidRDefault="005C13B6" w:rsidP="005C13B6">
          <w:pPr>
            <w:spacing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/>
            </w:rPr>
          </w:pPr>
          <w:r w:rsidRPr="005C13B6"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/>
            </w:rPr>
            <w:t>MIWOP</w:t>
          </w:r>
        </w:p>
      </w:tc>
      <w:tc>
        <w:tcPr>
          <w:tcW w:w="5896" w:type="dxa"/>
        </w:tcPr>
        <w:p w:rsidR="005C13B6" w:rsidRPr="005C13B6" w:rsidRDefault="005C13B6" w:rsidP="005C13B6">
          <w:pPr>
            <w:spacing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/>
            </w:rPr>
          </w:pPr>
          <w:r w:rsidRPr="005C13B6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  <w:lang w:val="pl-PL" w:eastAsia="pl-PL"/>
            </w:rPr>
            <w:drawing>
              <wp:anchor distT="0" distB="0" distL="114300" distR="114300" simplePos="0" relativeHeight="251659264" behindDoc="1" locked="0" layoutInCell="1" allowOverlap="1" wp14:anchorId="1A8B1697" wp14:editId="64EE6669">
                <wp:simplePos x="0" y="0"/>
                <wp:positionH relativeFrom="column">
                  <wp:posOffset>478647</wp:posOffset>
                </wp:positionH>
                <wp:positionV relativeFrom="paragraph">
                  <wp:posOffset>34290</wp:posOffset>
                </wp:positionV>
                <wp:extent cx="2819400" cy="542925"/>
                <wp:effectExtent l="0" t="0" r="0" b="9525"/>
                <wp:wrapNone/>
                <wp:docPr id="1" name="Obraz 8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24" w:type="dxa"/>
        </w:tcPr>
        <w:p w:rsidR="005C13B6" w:rsidRPr="005C13B6" w:rsidRDefault="005C13B6" w:rsidP="005C13B6">
          <w:pPr>
            <w:spacing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/>
            </w:rPr>
          </w:pPr>
          <w:r w:rsidRPr="005C13B6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  <w:lang w:val="de-DE"/>
            </w:rPr>
            <w:t>2020</w:t>
          </w:r>
        </w:p>
      </w:tc>
    </w:tr>
  </w:tbl>
  <w:p w:rsidR="005C13B6" w:rsidRDefault="005C13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5B1"/>
    <w:multiLevelType w:val="multilevel"/>
    <w:tmpl w:val="2A40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443"/>
    <w:multiLevelType w:val="hybridMultilevel"/>
    <w:tmpl w:val="74EE4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A00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E1304C"/>
    <w:multiLevelType w:val="multilevel"/>
    <w:tmpl w:val="1286F8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3C234D"/>
    <w:multiLevelType w:val="multilevel"/>
    <w:tmpl w:val="DB6C7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━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1EE4607"/>
    <w:multiLevelType w:val="hybridMultilevel"/>
    <w:tmpl w:val="7DCED0A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DD1520"/>
    <w:multiLevelType w:val="multilevel"/>
    <w:tmpl w:val="EC1EFC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9231A3D"/>
    <w:multiLevelType w:val="multilevel"/>
    <w:tmpl w:val="8A1AA2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544F2E95"/>
    <w:multiLevelType w:val="hybridMultilevel"/>
    <w:tmpl w:val="668469EA"/>
    <w:lvl w:ilvl="0" w:tplc="3F2AAF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2345" w:hanging="360"/>
        </w:pPr>
        <w:rPr>
          <w:rFonts w:cs="Times New Roman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cs="Times New Roman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2771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cs="Times New Roman"/>
        </w:rPr>
      </w:lvl>
    </w:lvlOverride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5BAB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2B8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529B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47733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6AEB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0B40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1067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3B53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3BE9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CA6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06E4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13B6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17F2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3F3C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2CBA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C7E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63D5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3EE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2FB8"/>
    <w:rsid w:val="00DE3806"/>
    <w:rsid w:val="00DE3D83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51F6"/>
    <w:rsid w:val="00E96C3D"/>
    <w:rsid w:val="00EA0594"/>
    <w:rsid w:val="00EA1062"/>
    <w:rsid w:val="00EA16A0"/>
    <w:rsid w:val="00EA1829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161B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E8BE1-7B5E-436B-854A-7C2F9E17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3D5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9463D5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Times New Roman" w:hAnsi="Times New Roman"/>
      <w:b/>
      <w:bCs/>
      <w:u w:color="A9001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3D5"/>
    <w:rPr>
      <w:rFonts w:ascii="Times New Roman" w:eastAsia="Cambria" w:hAnsi="Times New Roman" w:cs="Times New Roman"/>
      <w:b/>
      <w:bCs/>
      <w:sz w:val="24"/>
      <w:szCs w:val="24"/>
      <w:u w:color="A90010"/>
    </w:rPr>
  </w:style>
  <w:style w:type="paragraph" w:styleId="Tekstpodstawowy">
    <w:name w:val="Body Text"/>
    <w:basedOn w:val="Normalny"/>
    <w:link w:val="TekstpodstawowyZnak"/>
    <w:semiHidden/>
    <w:rsid w:val="009463D5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bCs/>
      <w:u w:color="A90010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63D5"/>
    <w:rPr>
      <w:rFonts w:ascii="Times New Roman" w:eastAsia="Cambria" w:hAnsi="Times New Roman" w:cs="Times New Roman"/>
      <w:bCs/>
      <w:sz w:val="24"/>
      <w:szCs w:val="24"/>
      <w:u w:color="A90010"/>
    </w:rPr>
  </w:style>
  <w:style w:type="paragraph" w:styleId="Akapitzlist">
    <w:name w:val="List Paragraph"/>
    <w:basedOn w:val="Normalny"/>
    <w:link w:val="AkapitzlistZnak"/>
    <w:uiPriority w:val="34"/>
    <w:qFormat/>
    <w:rsid w:val="009463D5"/>
    <w:pPr>
      <w:ind w:left="708"/>
    </w:pPr>
  </w:style>
  <w:style w:type="paragraph" w:customStyle="1" w:styleId="Textbody">
    <w:name w:val="Text body"/>
    <w:basedOn w:val="Normalny"/>
    <w:rsid w:val="009463D5"/>
    <w:pPr>
      <w:suppressAutoHyphens/>
      <w:spacing w:after="120"/>
      <w:textAlignment w:val="baseline"/>
    </w:pPr>
    <w:rPr>
      <w:rFonts w:ascii="Calibri" w:eastAsia="SimSun" w:hAnsi="Calibri" w:cs="Calibri"/>
      <w:kern w:val="1"/>
      <w:sz w:val="22"/>
      <w:szCs w:val="22"/>
      <w:lang w:val="pl-PL" w:eastAsia="zh-CN"/>
    </w:rPr>
  </w:style>
  <w:style w:type="character" w:customStyle="1" w:styleId="AkapitzlistZnak">
    <w:name w:val="Akapit z listą Znak"/>
    <w:link w:val="Akapitzlist"/>
    <w:uiPriority w:val="34"/>
    <w:rsid w:val="009463D5"/>
    <w:rPr>
      <w:rFonts w:ascii="Cambria" w:eastAsia="Cambria" w:hAnsi="Cambria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47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733"/>
    <w:rPr>
      <w:rFonts w:ascii="Cambria" w:eastAsia="Cambria" w:hAnsi="Cambria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47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7733"/>
    <w:rPr>
      <w:rFonts w:ascii="Cambria" w:eastAsia="Cambria" w:hAnsi="Cambria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5C1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2257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16</cp:revision>
  <dcterms:created xsi:type="dcterms:W3CDTF">2020-08-27T12:44:00Z</dcterms:created>
  <dcterms:modified xsi:type="dcterms:W3CDTF">2020-08-28T12:23:00Z</dcterms:modified>
</cp:coreProperties>
</file>